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65" w:rsidRDefault="00CE4465" w:rsidP="00CE4465">
      <w:pPr>
        <w:spacing w:before="120" w:after="120"/>
        <w:jc w:val="both"/>
        <w:rPr>
          <w:rFonts w:ascii="Arial" w:hAnsi="Arial" w:cs="Arial"/>
          <w:sz w:val="28"/>
          <w:szCs w:val="28"/>
          <w:lang w:val="ro-RO"/>
        </w:rPr>
      </w:pPr>
      <w:r w:rsidRPr="00CE4465">
        <w:rPr>
          <w:rFonts w:ascii="Arial" w:hAnsi="Arial" w:cs="Arial"/>
          <w:sz w:val="28"/>
          <w:szCs w:val="28"/>
          <w:lang w:val="ro-RO"/>
        </w:rPr>
        <w:t xml:space="preserve">Lucrări practice – Laborator </w:t>
      </w:r>
      <w:r w:rsidR="0041055B">
        <w:rPr>
          <w:rFonts w:ascii="Arial" w:hAnsi="Arial" w:cs="Arial"/>
          <w:sz w:val="28"/>
          <w:szCs w:val="28"/>
          <w:lang w:val="ro-RO"/>
        </w:rPr>
        <w:t>3</w:t>
      </w:r>
    </w:p>
    <w:p w:rsidR="00B20C71" w:rsidRDefault="00B20C71" w:rsidP="00CE4465">
      <w:pPr>
        <w:spacing w:before="120" w:after="120"/>
        <w:jc w:val="both"/>
        <w:rPr>
          <w:rFonts w:ascii="Arial" w:hAnsi="Arial" w:cs="Arial"/>
          <w:sz w:val="28"/>
          <w:szCs w:val="28"/>
          <w:lang w:val="ro-RO"/>
        </w:rPr>
      </w:pPr>
    </w:p>
    <w:p w:rsidR="00B80023" w:rsidRDefault="0051202D" w:rsidP="00CE4465">
      <w:pPr>
        <w:spacing w:before="120" w:after="120"/>
        <w:jc w:val="both"/>
        <w:rPr>
          <w:rFonts w:ascii="Arial" w:hAnsi="Arial" w:cs="Arial"/>
          <w:sz w:val="24"/>
          <w:szCs w:val="24"/>
          <w:lang w:val="ro-RO"/>
        </w:rPr>
      </w:pPr>
      <w:r w:rsidRPr="0051202D">
        <w:rPr>
          <w:rFonts w:ascii="Arial" w:hAnsi="Arial" w:cs="Arial"/>
          <w:sz w:val="24"/>
          <w:szCs w:val="24"/>
          <w:u w:val="single"/>
          <w:lang w:val="ro-RO"/>
        </w:rPr>
        <w:t>Obiectiv:</w:t>
      </w:r>
      <w:r>
        <w:rPr>
          <w:rFonts w:ascii="Arial" w:hAnsi="Arial" w:cs="Arial"/>
          <w:sz w:val="24"/>
          <w:szCs w:val="24"/>
          <w:lang w:val="ro-RO"/>
        </w:rPr>
        <w:t xml:space="preserve"> </w:t>
      </w:r>
      <w:r w:rsidR="00B80023" w:rsidRPr="00B80023">
        <w:rPr>
          <w:rFonts w:ascii="Arial" w:hAnsi="Arial" w:cs="Arial"/>
          <w:sz w:val="24"/>
          <w:szCs w:val="24"/>
          <w:lang w:val="ro-RO"/>
        </w:rPr>
        <w:t>sepa</w:t>
      </w:r>
      <w:r w:rsidR="00B80023">
        <w:rPr>
          <w:rFonts w:ascii="Arial" w:hAnsi="Arial" w:cs="Arial"/>
          <w:sz w:val="24"/>
          <w:szCs w:val="24"/>
          <w:lang w:val="ro-RO"/>
        </w:rPr>
        <w:t>rarea curgerii subterane din hidrograful curgerii totale.</w:t>
      </w:r>
    </w:p>
    <w:p w:rsidR="00B80023" w:rsidRDefault="00B80023" w:rsidP="00CE4465">
      <w:pPr>
        <w:spacing w:before="120" w:after="120"/>
        <w:jc w:val="both"/>
        <w:rPr>
          <w:rFonts w:ascii="Arial" w:hAnsi="Arial" w:cs="Arial"/>
          <w:sz w:val="24"/>
          <w:szCs w:val="24"/>
          <w:u w:val="single"/>
          <w:lang w:val="ro-RO"/>
        </w:rPr>
      </w:pPr>
      <w:r w:rsidRPr="00B80023">
        <w:rPr>
          <w:rFonts w:ascii="Arial" w:hAnsi="Arial" w:cs="Arial"/>
          <w:sz w:val="24"/>
          <w:szCs w:val="24"/>
          <w:u w:val="single"/>
          <w:lang w:val="ro-RO"/>
        </w:rPr>
        <w:t>Aplicație</w:t>
      </w:r>
    </w:p>
    <w:p w:rsidR="00D544B4" w:rsidRPr="00C474F5" w:rsidRDefault="00D544B4" w:rsidP="00D544B4">
      <w:pPr>
        <w:spacing w:before="120" w:after="120"/>
        <w:jc w:val="both"/>
        <w:rPr>
          <w:rFonts w:ascii="Arial" w:hAnsi="Arial" w:cs="Arial"/>
          <w:sz w:val="24"/>
          <w:szCs w:val="24"/>
          <w:lang w:val="ro-RO"/>
        </w:rPr>
      </w:pPr>
      <w:r>
        <w:rPr>
          <w:rFonts w:ascii="Arial" w:hAnsi="Arial" w:cs="Arial"/>
          <w:sz w:val="24"/>
          <w:szCs w:val="24"/>
          <w:lang w:val="ro-RO"/>
        </w:rPr>
        <w:t>Luând în considerare hidrograful curgerii totale construit anterior să se evalueze volumul curgerii subterane (V</w:t>
      </w:r>
      <w:r w:rsidRPr="00D544B4">
        <w:rPr>
          <w:rFonts w:ascii="Arial" w:hAnsi="Arial" w:cs="Arial"/>
          <w:sz w:val="28"/>
          <w:szCs w:val="28"/>
          <w:vertAlign w:val="subscript"/>
          <w:lang w:val="ro-RO"/>
        </w:rPr>
        <w:t>s</w:t>
      </w:r>
      <w:r>
        <w:rPr>
          <w:rFonts w:ascii="Arial" w:hAnsi="Arial" w:cs="Arial"/>
          <w:sz w:val="24"/>
          <w:szCs w:val="24"/>
          <w:lang w:val="ro-RO"/>
        </w:rPr>
        <w:t>) pentru anul 2010. Să se determine debitul mediu al curgerii subterane (Q</w:t>
      </w:r>
      <w:r w:rsidRPr="00D544B4">
        <w:rPr>
          <w:rFonts w:ascii="Arial" w:hAnsi="Arial" w:cs="Arial"/>
          <w:sz w:val="28"/>
          <w:szCs w:val="28"/>
          <w:vertAlign w:val="subscript"/>
          <w:lang w:val="ro-RO"/>
        </w:rPr>
        <w:t>s</w:t>
      </w:r>
      <w:r>
        <w:rPr>
          <w:rFonts w:ascii="Arial" w:hAnsi="Arial" w:cs="Arial"/>
          <w:sz w:val="24"/>
          <w:szCs w:val="24"/>
          <w:lang w:val="ro-RO"/>
        </w:rPr>
        <w:t>) și coeficientul alimentării subterane a râului pentru același an</w:t>
      </w:r>
      <w:r w:rsidR="002F7A0C">
        <w:rPr>
          <w:rFonts w:ascii="Arial" w:hAnsi="Arial" w:cs="Arial"/>
          <w:sz w:val="24"/>
          <w:szCs w:val="24"/>
          <w:lang w:val="ro-RO"/>
        </w:rPr>
        <w:t xml:space="preserve"> (k</w:t>
      </w:r>
      <w:r w:rsidR="002F7A0C" w:rsidRPr="00D544B4">
        <w:rPr>
          <w:rFonts w:ascii="Arial" w:hAnsi="Arial" w:cs="Arial"/>
          <w:sz w:val="28"/>
          <w:szCs w:val="28"/>
          <w:vertAlign w:val="subscript"/>
          <w:lang w:val="ro-RO"/>
        </w:rPr>
        <w:t>s</w:t>
      </w:r>
      <w:r w:rsidR="002F7A0C">
        <w:rPr>
          <w:rFonts w:ascii="Arial" w:hAnsi="Arial" w:cs="Arial"/>
          <w:sz w:val="24"/>
          <w:szCs w:val="24"/>
          <w:lang w:val="ro-RO"/>
        </w:rPr>
        <w:t>)</w:t>
      </w:r>
      <w:r>
        <w:rPr>
          <w:rFonts w:ascii="Arial" w:hAnsi="Arial" w:cs="Arial"/>
          <w:sz w:val="24"/>
          <w:szCs w:val="24"/>
          <w:lang w:val="ro-RO"/>
        </w:rPr>
        <w:t>.</w:t>
      </w:r>
    </w:p>
    <w:p w:rsidR="00C474F5" w:rsidRDefault="00C474F5" w:rsidP="00C474F5">
      <w:pPr>
        <w:spacing w:before="120" w:after="120"/>
        <w:jc w:val="both"/>
        <w:rPr>
          <w:rFonts w:ascii="Arial" w:hAnsi="Arial" w:cs="Arial"/>
          <w:sz w:val="24"/>
          <w:szCs w:val="24"/>
          <w:lang w:val="ro-RO"/>
        </w:rPr>
      </w:pPr>
      <w:r>
        <w:rPr>
          <w:rFonts w:ascii="Arial" w:hAnsi="Arial" w:cs="Arial"/>
          <w:sz w:val="24"/>
          <w:szCs w:val="24"/>
          <w:lang w:val="ro-RO"/>
        </w:rPr>
        <w:t>Se cunoaște că râul este alimentat dintr-un acvifer sub presiune și de un acvifer cu nivel liber cu care se află în legătură hidraulică directă</w:t>
      </w:r>
      <w:r w:rsidR="001B36BA">
        <w:rPr>
          <w:rFonts w:ascii="Arial" w:hAnsi="Arial" w:cs="Arial"/>
          <w:sz w:val="24"/>
          <w:szCs w:val="24"/>
          <w:lang w:val="ro-RO"/>
        </w:rPr>
        <w:t>.</w:t>
      </w:r>
      <w:r w:rsidR="00D544B4">
        <w:rPr>
          <w:rFonts w:ascii="Arial" w:hAnsi="Arial" w:cs="Arial"/>
          <w:sz w:val="24"/>
          <w:szCs w:val="24"/>
          <w:lang w:val="ro-RO"/>
        </w:rPr>
        <w:t xml:space="preserve"> (vezi figura de mai jos).</w:t>
      </w:r>
    </w:p>
    <w:p w:rsidR="00D544B4" w:rsidRDefault="00CF3B4E">
      <w:pPr>
        <w:spacing w:before="120" w:after="120"/>
        <w:jc w:val="both"/>
        <w:rPr>
          <w:rFonts w:ascii="Arial" w:hAnsi="Arial" w:cs="Arial"/>
          <w:sz w:val="24"/>
          <w:szCs w:val="24"/>
          <w:lang w:val="ro-RO"/>
        </w:rPr>
      </w:pPr>
      <w:r>
        <w:rPr>
          <w:rFonts w:ascii="Arial" w:hAnsi="Arial" w:cs="Arial"/>
          <w:noProof/>
          <w:sz w:val="24"/>
          <w:szCs w:val="24"/>
          <w:lang w:val="ro-RO" w:eastAsia="ro-RO"/>
        </w:rPr>
        <w:drawing>
          <wp:inline distT="0" distB="0" distL="0" distR="0">
            <wp:extent cx="5943600" cy="316219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62198"/>
                    </a:xfrm>
                    <a:prstGeom prst="rect">
                      <a:avLst/>
                    </a:prstGeom>
                    <a:noFill/>
                    <a:ln>
                      <a:noFill/>
                    </a:ln>
                  </pic:spPr>
                </pic:pic>
              </a:graphicData>
            </a:graphic>
          </wp:inline>
        </w:drawing>
      </w:r>
    </w:p>
    <w:p w:rsidR="00A322BD" w:rsidRDefault="00A322BD">
      <w:pPr>
        <w:spacing w:before="120" w:after="120"/>
        <w:jc w:val="both"/>
        <w:rPr>
          <w:rFonts w:ascii="Arial" w:hAnsi="Arial" w:cs="Arial"/>
          <w:sz w:val="24"/>
          <w:szCs w:val="24"/>
          <w:lang w:val="ro-RO"/>
        </w:rPr>
      </w:pPr>
      <w:r>
        <w:rPr>
          <w:rFonts w:ascii="Arial" w:hAnsi="Arial" w:cs="Arial"/>
          <w:sz w:val="24"/>
          <w:szCs w:val="24"/>
          <w:lang w:val="ro-RO"/>
        </w:rPr>
        <w:t xml:space="preserve">Pentru separearea curgerii subterane din hidrograful curgerii totale poate fi </w:t>
      </w:r>
      <w:r w:rsidR="00D46098">
        <w:rPr>
          <w:rFonts w:ascii="Arial" w:hAnsi="Arial" w:cs="Arial"/>
          <w:sz w:val="24"/>
          <w:szCs w:val="24"/>
          <w:lang w:val="ro-RO"/>
        </w:rPr>
        <w:t>folosit modelul Maillet. În conformitate cu acesta, dacă de la un moment dat un curs de apă nu mai este alimentat de la suprafață și într</w:t>
      </w:r>
      <w:r w:rsidR="008C2B0B">
        <w:rPr>
          <w:rFonts w:ascii="Arial" w:hAnsi="Arial" w:cs="Arial"/>
          <w:sz w:val="24"/>
          <w:szCs w:val="24"/>
          <w:lang w:val="ro-RO"/>
        </w:rPr>
        <w:t xml:space="preserve">egul debit provine din subteran, acesta poate fi estimat cu </w:t>
      </w:r>
      <w:r w:rsidR="00907F03">
        <w:rPr>
          <w:rFonts w:ascii="Arial" w:hAnsi="Arial" w:cs="Arial"/>
          <w:sz w:val="24"/>
          <w:szCs w:val="24"/>
          <w:lang w:val="ro-RO"/>
        </w:rPr>
        <w:t>ecuați</w:t>
      </w:r>
      <w:r w:rsidR="008C2B0B">
        <w:rPr>
          <w:rFonts w:ascii="Arial" w:hAnsi="Arial" w:cs="Arial"/>
          <w:sz w:val="24"/>
          <w:szCs w:val="24"/>
          <w:lang w:val="ro-RO"/>
        </w:rPr>
        <w:t>a</w:t>
      </w:r>
      <w:r>
        <w:rPr>
          <w:rFonts w:ascii="Arial" w:hAnsi="Arial" w:cs="Arial"/>
          <w:sz w:val="24"/>
          <w:szCs w:val="24"/>
          <w:lang w:val="ro-RO"/>
        </w:rPr>
        <w:t>:</w:t>
      </w:r>
    </w:p>
    <w:p w:rsidR="00A322BD" w:rsidRDefault="00A322BD">
      <w:pPr>
        <w:spacing w:before="120" w:after="120"/>
        <w:jc w:val="both"/>
        <w:rPr>
          <w:rFonts w:ascii="Arial" w:hAnsi="Arial" w:cs="Arial"/>
          <w:sz w:val="24"/>
          <w:szCs w:val="24"/>
          <w:lang w:val="ro-RO"/>
        </w:rPr>
      </w:pPr>
      <w:r>
        <w:rPr>
          <w:rFonts w:ascii="Arial" w:hAnsi="Arial" w:cs="Arial"/>
          <w:sz w:val="24"/>
          <w:szCs w:val="24"/>
          <w:lang w:val="ro-RO"/>
        </w:rPr>
        <w:t>Q</w:t>
      </w:r>
      <w:r w:rsidRPr="00A322BD">
        <w:rPr>
          <w:rFonts w:ascii="Arial" w:hAnsi="Arial" w:cs="Arial"/>
          <w:sz w:val="28"/>
          <w:szCs w:val="28"/>
          <w:vertAlign w:val="subscript"/>
          <w:lang w:val="ro-RO"/>
        </w:rPr>
        <w:t>t</w:t>
      </w:r>
      <w:r>
        <w:rPr>
          <w:rFonts w:ascii="Arial" w:hAnsi="Arial" w:cs="Arial"/>
          <w:sz w:val="24"/>
          <w:szCs w:val="24"/>
          <w:lang w:val="ro-RO"/>
        </w:rPr>
        <w:t xml:space="preserve"> = Q</w:t>
      </w:r>
      <w:r w:rsidRPr="00A322BD">
        <w:rPr>
          <w:rFonts w:ascii="Arial" w:hAnsi="Arial" w:cs="Arial"/>
          <w:sz w:val="28"/>
          <w:szCs w:val="28"/>
          <w:vertAlign w:val="subscript"/>
          <w:lang w:val="ro-RO"/>
        </w:rPr>
        <w:t>0</w:t>
      </w:r>
      <w:r>
        <w:rPr>
          <w:rFonts w:ascii="Arial" w:hAnsi="Arial" w:cs="Arial"/>
          <w:sz w:val="28"/>
          <w:szCs w:val="28"/>
          <w:vertAlign w:val="subscript"/>
          <w:lang w:val="ro-RO"/>
        </w:rPr>
        <w:t xml:space="preserve"> x </w:t>
      </w:r>
      <w:r>
        <w:rPr>
          <w:rFonts w:ascii="Arial" w:hAnsi="Arial" w:cs="Arial"/>
          <w:sz w:val="24"/>
          <w:szCs w:val="24"/>
          <w:lang w:val="ro-RO"/>
        </w:rPr>
        <w:t>e</w:t>
      </w:r>
      <w:r w:rsidRPr="00A322BD">
        <w:rPr>
          <w:rFonts w:ascii="Arial" w:hAnsi="Arial" w:cs="Arial"/>
          <w:sz w:val="28"/>
          <w:szCs w:val="28"/>
          <w:vertAlign w:val="superscript"/>
          <w:lang w:val="ro-RO"/>
        </w:rPr>
        <w:t xml:space="preserve"> </w:t>
      </w:r>
      <w:r>
        <w:rPr>
          <w:rFonts w:ascii="Arial" w:hAnsi="Arial" w:cs="Arial"/>
          <w:sz w:val="28"/>
          <w:szCs w:val="28"/>
          <w:vertAlign w:val="superscript"/>
          <w:lang w:val="ro-RO"/>
        </w:rPr>
        <w:t>–</w:t>
      </w:r>
      <w:r w:rsidRPr="00A322BD">
        <w:rPr>
          <w:rFonts w:ascii="Arial" w:hAnsi="Arial" w:cs="Arial"/>
          <w:sz w:val="28"/>
          <w:szCs w:val="28"/>
          <w:vertAlign w:val="superscript"/>
          <w:lang w:val="ro-RO"/>
        </w:rPr>
        <w:t>αt</w:t>
      </w:r>
      <w:r>
        <w:rPr>
          <w:rFonts w:ascii="Arial" w:hAnsi="Arial" w:cs="Arial"/>
          <w:sz w:val="24"/>
          <w:szCs w:val="24"/>
          <w:lang w:val="ro-RO"/>
        </w:rPr>
        <w:t>, unde:</w:t>
      </w:r>
    </w:p>
    <w:p w:rsidR="00A322BD" w:rsidRDefault="00A322BD" w:rsidP="00A322BD">
      <w:pPr>
        <w:pStyle w:val="ListParagraph"/>
        <w:numPr>
          <w:ilvl w:val="0"/>
          <w:numId w:val="4"/>
        </w:numPr>
        <w:spacing w:before="120" w:after="120"/>
        <w:jc w:val="both"/>
        <w:rPr>
          <w:rFonts w:ascii="Arial" w:hAnsi="Arial" w:cs="Arial"/>
          <w:sz w:val="24"/>
          <w:szCs w:val="24"/>
          <w:lang w:val="ro-RO"/>
        </w:rPr>
      </w:pPr>
      <w:r>
        <w:rPr>
          <w:rFonts w:ascii="Arial" w:hAnsi="Arial" w:cs="Arial"/>
          <w:sz w:val="24"/>
          <w:szCs w:val="24"/>
          <w:lang w:val="ro-RO"/>
        </w:rPr>
        <w:t>Q</w:t>
      </w:r>
      <w:r w:rsidRPr="00A322BD">
        <w:rPr>
          <w:rFonts w:ascii="Arial" w:hAnsi="Arial" w:cs="Arial"/>
          <w:sz w:val="28"/>
          <w:szCs w:val="28"/>
          <w:vertAlign w:val="subscript"/>
          <w:lang w:val="ro-RO"/>
        </w:rPr>
        <w:t>t</w:t>
      </w:r>
      <w:r>
        <w:rPr>
          <w:rFonts w:ascii="Arial" w:hAnsi="Arial" w:cs="Arial"/>
          <w:sz w:val="28"/>
          <w:szCs w:val="28"/>
          <w:vertAlign w:val="subscript"/>
          <w:lang w:val="ro-RO"/>
        </w:rPr>
        <w:t xml:space="preserve"> </w:t>
      </w:r>
      <w:r w:rsidR="00EA20CC">
        <w:rPr>
          <w:rFonts w:ascii="Arial" w:hAnsi="Arial" w:cs="Arial"/>
          <w:sz w:val="24"/>
          <w:szCs w:val="24"/>
          <w:lang w:val="ro-RO"/>
        </w:rPr>
        <w:t>- debitul alimentării subterane a râului la momentul t de la începutul perioadei de epuizare,</w:t>
      </w:r>
    </w:p>
    <w:p w:rsidR="00EA20CC" w:rsidRDefault="00EA20CC" w:rsidP="00A322BD">
      <w:pPr>
        <w:pStyle w:val="ListParagraph"/>
        <w:numPr>
          <w:ilvl w:val="0"/>
          <w:numId w:val="4"/>
        </w:numPr>
        <w:spacing w:before="120" w:after="120"/>
        <w:jc w:val="both"/>
        <w:rPr>
          <w:rFonts w:ascii="Arial" w:hAnsi="Arial" w:cs="Arial"/>
          <w:sz w:val="24"/>
          <w:szCs w:val="24"/>
          <w:lang w:val="ro-RO"/>
        </w:rPr>
      </w:pPr>
      <w:r>
        <w:rPr>
          <w:rFonts w:ascii="Arial" w:hAnsi="Arial" w:cs="Arial"/>
          <w:sz w:val="24"/>
          <w:szCs w:val="24"/>
          <w:lang w:val="ro-RO"/>
        </w:rPr>
        <w:t>Q</w:t>
      </w:r>
      <w:r w:rsidRPr="00A322BD">
        <w:rPr>
          <w:rFonts w:ascii="Arial" w:hAnsi="Arial" w:cs="Arial"/>
          <w:sz w:val="28"/>
          <w:szCs w:val="28"/>
          <w:vertAlign w:val="subscript"/>
          <w:lang w:val="ro-RO"/>
        </w:rPr>
        <w:t>0</w:t>
      </w:r>
      <w:r>
        <w:rPr>
          <w:rFonts w:ascii="Arial" w:hAnsi="Arial" w:cs="Arial"/>
          <w:sz w:val="28"/>
          <w:szCs w:val="28"/>
          <w:vertAlign w:val="subscript"/>
          <w:lang w:val="ro-RO"/>
        </w:rPr>
        <w:t xml:space="preserve"> </w:t>
      </w:r>
      <w:r>
        <w:rPr>
          <w:rFonts w:ascii="Arial" w:hAnsi="Arial" w:cs="Arial"/>
          <w:sz w:val="24"/>
          <w:szCs w:val="24"/>
          <w:lang w:val="ro-RO"/>
        </w:rPr>
        <w:t>- debitul alimentării subterane la începutul perioadei de epuizare,</w:t>
      </w:r>
    </w:p>
    <w:p w:rsidR="00EA20CC" w:rsidRDefault="008C2B0B" w:rsidP="00A322BD">
      <w:pPr>
        <w:pStyle w:val="ListParagraph"/>
        <w:numPr>
          <w:ilvl w:val="0"/>
          <w:numId w:val="4"/>
        </w:numPr>
        <w:spacing w:before="120" w:after="120"/>
        <w:jc w:val="both"/>
        <w:rPr>
          <w:rFonts w:ascii="Arial" w:hAnsi="Arial" w:cs="Arial"/>
          <w:sz w:val="24"/>
          <w:szCs w:val="24"/>
          <w:lang w:val="ro-RO"/>
        </w:rPr>
      </w:pPr>
      <w:r w:rsidRPr="008C2B0B">
        <w:rPr>
          <w:rFonts w:ascii="Arial" w:hAnsi="Arial" w:cs="Arial"/>
          <w:sz w:val="24"/>
          <w:szCs w:val="24"/>
          <w:lang w:val="ro-RO"/>
        </w:rPr>
        <w:t>α</w:t>
      </w:r>
      <w:r>
        <w:rPr>
          <w:rFonts w:ascii="Arial" w:hAnsi="Arial" w:cs="Arial"/>
          <w:sz w:val="24"/>
          <w:szCs w:val="24"/>
          <w:lang w:val="ro-RO"/>
        </w:rPr>
        <w:t xml:space="preserve"> - coeficientul de epuizare a acviferului,</w:t>
      </w:r>
    </w:p>
    <w:p w:rsidR="008C2B0B" w:rsidRDefault="008C2B0B" w:rsidP="00A322BD">
      <w:pPr>
        <w:pStyle w:val="ListParagraph"/>
        <w:numPr>
          <w:ilvl w:val="0"/>
          <w:numId w:val="4"/>
        </w:numPr>
        <w:spacing w:before="120" w:after="120"/>
        <w:jc w:val="both"/>
        <w:rPr>
          <w:rFonts w:ascii="Arial" w:hAnsi="Arial" w:cs="Arial"/>
          <w:sz w:val="24"/>
          <w:szCs w:val="24"/>
          <w:lang w:val="ro-RO"/>
        </w:rPr>
      </w:pPr>
      <w:r>
        <w:rPr>
          <w:rFonts w:ascii="Arial" w:hAnsi="Arial" w:cs="Arial"/>
          <w:sz w:val="24"/>
          <w:szCs w:val="24"/>
          <w:lang w:val="ro-RO"/>
        </w:rPr>
        <w:t>t - timpul la care</w:t>
      </w:r>
      <w:r w:rsidR="00DB31E1">
        <w:rPr>
          <w:rFonts w:ascii="Arial" w:hAnsi="Arial" w:cs="Arial"/>
          <w:sz w:val="24"/>
          <w:szCs w:val="24"/>
          <w:lang w:val="ro-RO"/>
        </w:rPr>
        <w:t xml:space="preserve"> se calcutează debitul datorat alimentării subterane.</w:t>
      </w:r>
    </w:p>
    <w:p w:rsidR="00F378CE" w:rsidRDefault="00ED53A7" w:rsidP="00ED53A7">
      <w:pPr>
        <w:spacing w:before="120" w:after="120"/>
        <w:jc w:val="both"/>
        <w:rPr>
          <w:rFonts w:ascii="Arial" w:hAnsi="Arial" w:cs="Arial"/>
          <w:sz w:val="24"/>
          <w:szCs w:val="24"/>
          <w:lang w:val="ro-RO"/>
        </w:rPr>
      </w:pPr>
      <w:r>
        <w:rPr>
          <w:rFonts w:ascii="Arial" w:hAnsi="Arial" w:cs="Arial"/>
          <w:sz w:val="24"/>
          <w:szCs w:val="24"/>
          <w:lang w:val="ro-RO"/>
        </w:rPr>
        <w:lastRenderedPageBreak/>
        <w:t>Pentru a putea calcula debitul Q</w:t>
      </w:r>
      <w:r w:rsidRPr="00A322BD">
        <w:rPr>
          <w:rFonts w:ascii="Arial" w:hAnsi="Arial" w:cs="Arial"/>
          <w:sz w:val="28"/>
          <w:szCs w:val="28"/>
          <w:vertAlign w:val="subscript"/>
          <w:lang w:val="ro-RO"/>
        </w:rPr>
        <w:t>t</w:t>
      </w:r>
      <w:r w:rsidRPr="00ED53A7">
        <w:rPr>
          <w:rFonts w:ascii="Arial" w:hAnsi="Arial" w:cs="Arial"/>
          <w:sz w:val="24"/>
          <w:szCs w:val="24"/>
          <w:lang w:val="ro-RO"/>
        </w:rPr>
        <w:t xml:space="preserve"> la diferite momente</w:t>
      </w:r>
      <w:r>
        <w:rPr>
          <w:rFonts w:ascii="Arial" w:hAnsi="Arial" w:cs="Arial"/>
          <w:sz w:val="24"/>
          <w:szCs w:val="24"/>
          <w:lang w:val="ro-RO"/>
        </w:rPr>
        <w:t xml:space="preserve"> de timp t, este necesar să se cunoască coeficientul de epu</w:t>
      </w:r>
      <w:r w:rsidR="0051202D">
        <w:rPr>
          <w:rFonts w:ascii="Arial" w:hAnsi="Arial" w:cs="Arial"/>
          <w:sz w:val="24"/>
          <w:szCs w:val="24"/>
          <w:lang w:val="ro-RO"/>
        </w:rPr>
        <w:t>i</w:t>
      </w:r>
      <w:r>
        <w:rPr>
          <w:rFonts w:ascii="Arial" w:hAnsi="Arial" w:cs="Arial"/>
          <w:sz w:val="24"/>
          <w:szCs w:val="24"/>
          <w:lang w:val="ro-RO"/>
        </w:rPr>
        <w:t xml:space="preserve">zare a acviferului. </w:t>
      </w:r>
    </w:p>
    <w:p w:rsidR="00ED53A7" w:rsidRDefault="00F378CE" w:rsidP="00ED53A7">
      <w:pPr>
        <w:spacing w:before="120" w:after="120"/>
        <w:jc w:val="both"/>
        <w:rPr>
          <w:rFonts w:ascii="Arial" w:hAnsi="Arial" w:cs="Arial"/>
          <w:sz w:val="24"/>
          <w:szCs w:val="24"/>
          <w:lang w:val="ro-RO"/>
        </w:rPr>
      </w:pPr>
      <w:r>
        <w:rPr>
          <w:rFonts w:ascii="Arial" w:hAnsi="Arial" w:cs="Arial"/>
          <w:sz w:val="24"/>
          <w:szCs w:val="24"/>
          <w:lang w:val="ro-RO"/>
        </w:rPr>
        <w:t xml:space="preserve">Pentru determinarea acestuia se presupune că punctele </w:t>
      </w:r>
      <w:r w:rsidR="0051202D">
        <w:rPr>
          <w:rFonts w:ascii="Arial" w:hAnsi="Arial" w:cs="Arial"/>
          <w:sz w:val="24"/>
          <w:szCs w:val="24"/>
          <w:lang w:val="ro-RO"/>
        </w:rPr>
        <w:t xml:space="preserve">definite de perechile de valori (ti, Qi) </w:t>
      </w:r>
      <w:r>
        <w:rPr>
          <w:rFonts w:ascii="Arial" w:hAnsi="Arial" w:cs="Arial"/>
          <w:sz w:val="24"/>
          <w:szCs w:val="24"/>
          <w:lang w:val="ro-RO"/>
        </w:rPr>
        <w:t>d</w:t>
      </w:r>
      <w:r w:rsidR="0051202D">
        <w:rPr>
          <w:rFonts w:ascii="Arial" w:hAnsi="Arial" w:cs="Arial"/>
          <w:sz w:val="24"/>
          <w:szCs w:val="24"/>
          <w:lang w:val="ro-RO"/>
        </w:rPr>
        <w:t>in vecinătatea punctului de</w:t>
      </w:r>
      <w:r>
        <w:rPr>
          <w:rFonts w:ascii="Arial" w:hAnsi="Arial" w:cs="Arial"/>
          <w:sz w:val="24"/>
          <w:szCs w:val="24"/>
          <w:lang w:val="ro-RO"/>
        </w:rPr>
        <w:t xml:space="preserve"> minim de pe hidrograful curgerii totale</w:t>
      </w:r>
      <w:r w:rsidR="0051202D">
        <w:rPr>
          <w:rFonts w:ascii="Arial" w:hAnsi="Arial" w:cs="Arial"/>
          <w:sz w:val="24"/>
          <w:szCs w:val="24"/>
          <w:lang w:val="ro-RO"/>
        </w:rPr>
        <w:t>,</w:t>
      </w:r>
      <w:r>
        <w:rPr>
          <w:rFonts w:ascii="Arial" w:hAnsi="Arial" w:cs="Arial"/>
          <w:sz w:val="24"/>
          <w:szCs w:val="24"/>
          <w:lang w:val="ro-RO"/>
        </w:rPr>
        <w:t xml:space="preserve"> </w:t>
      </w:r>
      <w:r w:rsidR="0051202D">
        <w:rPr>
          <w:rFonts w:ascii="Arial" w:hAnsi="Arial" w:cs="Arial"/>
          <w:sz w:val="24"/>
          <w:szCs w:val="24"/>
          <w:lang w:val="ro-RO"/>
        </w:rPr>
        <w:t xml:space="preserve">din zona în care panta acestuia este redusă, </w:t>
      </w:r>
      <w:r>
        <w:rPr>
          <w:rFonts w:ascii="Arial" w:hAnsi="Arial" w:cs="Arial"/>
          <w:sz w:val="24"/>
          <w:szCs w:val="24"/>
          <w:lang w:val="ro-RO"/>
        </w:rPr>
        <w:t>aparțin perioadei de epuizare (debitul provine în întregime din alimentare subterană).</w:t>
      </w:r>
    </w:p>
    <w:p w:rsidR="00F378CE" w:rsidRDefault="00F378CE" w:rsidP="00ED53A7">
      <w:pPr>
        <w:spacing w:before="120" w:after="120"/>
        <w:jc w:val="both"/>
        <w:rPr>
          <w:rFonts w:ascii="Arial" w:hAnsi="Arial" w:cs="Arial"/>
          <w:sz w:val="24"/>
          <w:szCs w:val="24"/>
          <w:lang w:val="ro-RO"/>
        </w:rPr>
      </w:pPr>
      <w:r>
        <w:rPr>
          <w:rFonts w:ascii="Arial" w:hAnsi="Arial" w:cs="Arial"/>
          <w:sz w:val="24"/>
          <w:szCs w:val="24"/>
          <w:lang w:val="ro-RO"/>
        </w:rPr>
        <w:t xml:space="preserve">Logaritmând valorile debitului corespenzătoare unei astfel de perioade și reprezentându-le într-un sistem de axe </w:t>
      </w:r>
      <w:r w:rsidR="0089065D">
        <w:rPr>
          <w:rFonts w:ascii="Arial" w:hAnsi="Arial" w:cs="Arial"/>
          <w:sz w:val="24"/>
          <w:szCs w:val="24"/>
          <w:lang w:val="ro-RO"/>
        </w:rPr>
        <w:t>t – ln Q, se obțin perechi de puncte (t, lnQ) ce pot fi interpolate cu o dreaptă a cărei pantă o reprezintă coeficientul de epuizare a acviferului.</w:t>
      </w:r>
    </w:p>
    <w:p w:rsidR="00716CFE" w:rsidRDefault="00716CFE" w:rsidP="00ED53A7">
      <w:pPr>
        <w:spacing w:before="120" w:after="120"/>
        <w:jc w:val="both"/>
        <w:rPr>
          <w:rFonts w:ascii="Arial" w:hAnsi="Arial" w:cs="Arial"/>
          <w:sz w:val="24"/>
          <w:szCs w:val="24"/>
          <w:lang w:val="ro-RO"/>
        </w:rPr>
      </w:pPr>
      <w:r>
        <w:rPr>
          <w:noProof/>
          <w:lang w:val="ro-RO" w:eastAsia="ro-RO"/>
        </w:rPr>
        <w:drawing>
          <wp:inline distT="0" distB="0" distL="0" distR="0" wp14:anchorId="0CC560E8" wp14:editId="668B77E7">
            <wp:extent cx="5705061" cy="3856382"/>
            <wp:effectExtent l="0" t="0" r="1016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F378CE" w:rsidRDefault="00716CFE" w:rsidP="00ED53A7">
      <w:pPr>
        <w:spacing w:before="120" w:after="120"/>
        <w:jc w:val="both"/>
        <w:rPr>
          <w:rFonts w:ascii="Arial" w:hAnsi="Arial" w:cs="Arial"/>
          <w:sz w:val="24"/>
          <w:szCs w:val="24"/>
          <w:lang w:val="ro-RO"/>
        </w:rPr>
      </w:pPr>
      <w:r>
        <w:rPr>
          <w:rFonts w:ascii="Arial" w:hAnsi="Arial" w:cs="Arial"/>
          <w:sz w:val="24"/>
          <w:szCs w:val="24"/>
          <w:lang w:val="ro-RO"/>
        </w:rPr>
        <w:t>Cu valoarea coeficientului de epu</w:t>
      </w:r>
      <w:r w:rsidR="0051202D">
        <w:rPr>
          <w:rFonts w:ascii="Arial" w:hAnsi="Arial" w:cs="Arial"/>
          <w:sz w:val="24"/>
          <w:szCs w:val="24"/>
          <w:lang w:val="ro-RO"/>
        </w:rPr>
        <w:t>i</w:t>
      </w:r>
      <w:r>
        <w:rPr>
          <w:rFonts w:ascii="Arial" w:hAnsi="Arial" w:cs="Arial"/>
          <w:sz w:val="24"/>
          <w:szCs w:val="24"/>
          <w:lang w:val="ro-RO"/>
        </w:rPr>
        <w:t>zare cunoscută, dând valori lui t în ecuația Maillet se poate calcula debitul Q</w:t>
      </w:r>
      <w:r w:rsidRPr="00D544B4">
        <w:rPr>
          <w:rFonts w:ascii="Arial" w:hAnsi="Arial" w:cs="Arial"/>
          <w:sz w:val="28"/>
          <w:szCs w:val="28"/>
          <w:vertAlign w:val="subscript"/>
          <w:lang w:val="ro-RO"/>
        </w:rPr>
        <w:t>s</w:t>
      </w:r>
      <w:r w:rsidRPr="00716CFE">
        <w:rPr>
          <w:rFonts w:ascii="Arial" w:hAnsi="Arial" w:cs="Arial"/>
          <w:sz w:val="24"/>
          <w:szCs w:val="24"/>
          <w:lang w:val="ro-RO"/>
        </w:rPr>
        <w:t>, datorat alimentării</w:t>
      </w:r>
      <w:r>
        <w:rPr>
          <w:rFonts w:ascii="Arial" w:hAnsi="Arial" w:cs="Arial"/>
          <w:sz w:val="24"/>
          <w:szCs w:val="24"/>
          <w:lang w:val="ro-RO"/>
        </w:rPr>
        <w:t xml:space="preserve"> subterane a râului.</w:t>
      </w:r>
    </w:p>
    <w:p w:rsidR="00716CFE" w:rsidRPr="00716CFE" w:rsidRDefault="00716CFE" w:rsidP="00ED53A7">
      <w:pPr>
        <w:spacing w:before="120" w:after="120"/>
        <w:jc w:val="both"/>
        <w:rPr>
          <w:rFonts w:ascii="Arial" w:hAnsi="Arial" w:cs="Arial"/>
          <w:sz w:val="24"/>
          <w:szCs w:val="24"/>
          <w:lang w:val="ro-RO"/>
        </w:rPr>
      </w:pPr>
      <w:r>
        <w:rPr>
          <w:rFonts w:ascii="Arial" w:hAnsi="Arial" w:cs="Arial"/>
          <w:sz w:val="24"/>
          <w:szCs w:val="24"/>
          <w:lang w:val="ro-RO"/>
        </w:rPr>
        <w:t>Reprezentând perechile de valori (t-Qs) pe același grafic cu cel obținut la realizarea hidrografului curgerii totale, se realizează separ</w:t>
      </w:r>
      <w:r w:rsidR="003E2FFB">
        <w:rPr>
          <w:rFonts w:ascii="Arial" w:hAnsi="Arial" w:cs="Arial"/>
          <w:sz w:val="24"/>
          <w:szCs w:val="24"/>
          <w:lang w:val="ro-RO"/>
        </w:rPr>
        <w:t>a</w:t>
      </w:r>
      <w:r>
        <w:rPr>
          <w:rFonts w:ascii="Arial" w:hAnsi="Arial" w:cs="Arial"/>
          <w:sz w:val="24"/>
          <w:szCs w:val="24"/>
          <w:lang w:val="ro-RO"/>
        </w:rPr>
        <w:t>rea curgerii subterane din hidrograful curgerii totale.</w:t>
      </w:r>
    </w:p>
    <w:p w:rsidR="00A322BD" w:rsidRDefault="00B41319">
      <w:pPr>
        <w:spacing w:before="120" w:after="120"/>
        <w:jc w:val="both"/>
        <w:rPr>
          <w:rFonts w:ascii="Arial" w:hAnsi="Arial" w:cs="Arial"/>
          <w:sz w:val="24"/>
          <w:szCs w:val="24"/>
          <w:lang w:val="ro-RO"/>
        </w:rPr>
      </w:pPr>
      <w:r>
        <w:rPr>
          <w:noProof/>
          <w:lang w:val="ro-RO" w:eastAsia="ro-RO"/>
        </w:rPr>
        <w:lastRenderedPageBreak/>
        <w:drawing>
          <wp:inline distT="0" distB="0" distL="0" distR="0" wp14:anchorId="015E2663" wp14:editId="6A2A79DA">
            <wp:extent cx="5943600" cy="3955774"/>
            <wp:effectExtent l="0" t="0" r="1905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1319" w:rsidRDefault="00B41319">
      <w:pPr>
        <w:spacing w:before="120" w:after="120"/>
        <w:jc w:val="both"/>
        <w:rPr>
          <w:rFonts w:ascii="Arial" w:hAnsi="Arial" w:cs="Arial"/>
          <w:sz w:val="24"/>
          <w:szCs w:val="24"/>
          <w:lang w:val="ro-RO"/>
        </w:rPr>
      </w:pPr>
      <w:r>
        <w:rPr>
          <w:rFonts w:ascii="Arial" w:hAnsi="Arial" w:cs="Arial"/>
          <w:sz w:val="24"/>
          <w:szCs w:val="24"/>
          <w:lang w:val="ro-RO"/>
        </w:rPr>
        <w:t>Volumul aferent curgerii subterane este egal numeric cu aria figurii cuprinse între axa absciselor şi curba corespunzătoare curgerii subterane, iar volumul aferent curgerii de suprafaţă cu aria figurii cuprinse între curba corespunzătoare curgerii subterane şi cea a curgerii totale.</w:t>
      </w:r>
    </w:p>
    <w:p w:rsidR="00B41319" w:rsidRDefault="00B41319">
      <w:pPr>
        <w:spacing w:before="120" w:after="120"/>
        <w:jc w:val="both"/>
        <w:rPr>
          <w:rFonts w:ascii="Arial" w:hAnsi="Arial" w:cs="Arial"/>
          <w:sz w:val="24"/>
          <w:szCs w:val="24"/>
          <w:lang w:val="ro-RO"/>
        </w:rPr>
      </w:pPr>
      <w:r>
        <w:rPr>
          <w:rFonts w:ascii="Arial" w:hAnsi="Arial" w:cs="Arial"/>
          <w:sz w:val="24"/>
          <w:szCs w:val="24"/>
          <w:lang w:val="ro-RO"/>
        </w:rPr>
        <w:t>Pentru calculul debitului</w:t>
      </w:r>
      <w:r w:rsidR="002F7A0C">
        <w:rPr>
          <w:rFonts w:ascii="Arial" w:hAnsi="Arial" w:cs="Arial"/>
          <w:sz w:val="24"/>
          <w:szCs w:val="24"/>
          <w:lang w:val="ro-RO"/>
        </w:rPr>
        <w:t xml:space="preserve"> mediu</w:t>
      </w:r>
      <w:r>
        <w:rPr>
          <w:rFonts w:ascii="Arial" w:hAnsi="Arial" w:cs="Arial"/>
          <w:sz w:val="24"/>
          <w:szCs w:val="24"/>
          <w:lang w:val="ro-RO"/>
        </w:rPr>
        <w:t xml:space="preserve"> datorat alimentării subterane </w:t>
      </w:r>
      <w:r w:rsidR="002F7A0C">
        <w:rPr>
          <w:rFonts w:ascii="Arial" w:hAnsi="Arial" w:cs="Arial"/>
          <w:sz w:val="24"/>
          <w:szCs w:val="24"/>
          <w:lang w:val="ro-RO"/>
        </w:rPr>
        <w:t>Qs se mediază valorile medii lunare corespunzătoare alimentării subterane determinate anterior pentru fiecare lună a anului 2010.</w:t>
      </w:r>
    </w:p>
    <w:p w:rsidR="002F7A0C" w:rsidRDefault="002F7A0C">
      <w:pPr>
        <w:spacing w:before="120" w:after="120"/>
        <w:jc w:val="both"/>
        <w:rPr>
          <w:rFonts w:ascii="Arial" w:hAnsi="Arial" w:cs="Arial"/>
          <w:sz w:val="24"/>
          <w:szCs w:val="24"/>
          <w:lang w:val="ro-RO"/>
        </w:rPr>
      </w:pPr>
      <w:r>
        <w:rPr>
          <w:rFonts w:ascii="Arial" w:hAnsi="Arial" w:cs="Arial"/>
          <w:sz w:val="24"/>
          <w:szCs w:val="24"/>
          <w:lang w:val="ro-RO"/>
        </w:rPr>
        <w:t>Volumul aferent curgerii subterane Vs pentru anul 2010 se calculează ca produs între debitul mediu anual al alimentării subterane Qs şi timpul aferent anului 2010.</w:t>
      </w:r>
    </w:p>
    <w:p w:rsidR="002F7A0C" w:rsidRDefault="002F7A0C">
      <w:pPr>
        <w:spacing w:before="120" w:after="120"/>
        <w:jc w:val="both"/>
        <w:rPr>
          <w:rFonts w:ascii="Arial" w:hAnsi="Arial" w:cs="Arial"/>
          <w:sz w:val="24"/>
          <w:szCs w:val="24"/>
          <w:lang w:val="ro-RO"/>
        </w:rPr>
      </w:pPr>
      <w:r>
        <w:rPr>
          <w:rFonts w:ascii="Arial" w:hAnsi="Arial" w:cs="Arial"/>
          <w:sz w:val="24"/>
          <w:szCs w:val="24"/>
          <w:lang w:val="ro-RO"/>
        </w:rPr>
        <w:t>Raportând debitul mediu al curgerii subterane pentru anul 2010 la debitul mediu al curgerii totale pentru aceeaşi perioadă de timp se poate determina coeficientul alimentării subterane</w:t>
      </w:r>
      <w:r w:rsidR="006245DE">
        <w:rPr>
          <w:rFonts w:ascii="Arial" w:hAnsi="Arial" w:cs="Arial"/>
          <w:sz w:val="24"/>
          <w:szCs w:val="24"/>
          <w:lang w:val="ro-RO"/>
        </w:rPr>
        <w:t xml:space="preserve"> (k</w:t>
      </w:r>
      <w:r w:rsidR="006245DE" w:rsidRPr="00D544B4">
        <w:rPr>
          <w:rFonts w:ascii="Arial" w:hAnsi="Arial" w:cs="Arial"/>
          <w:sz w:val="28"/>
          <w:szCs w:val="28"/>
          <w:vertAlign w:val="subscript"/>
          <w:lang w:val="ro-RO"/>
        </w:rPr>
        <w:t>s</w:t>
      </w:r>
      <w:r w:rsidR="006245DE">
        <w:rPr>
          <w:rFonts w:ascii="Arial" w:hAnsi="Arial" w:cs="Arial"/>
          <w:sz w:val="24"/>
          <w:szCs w:val="24"/>
          <w:lang w:val="ro-RO"/>
        </w:rPr>
        <w:t xml:space="preserve">) </w:t>
      </w:r>
      <w:r>
        <w:rPr>
          <w:rFonts w:ascii="Arial" w:hAnsi="Arial" w:cs="Arial"/>
          <w:sz w:val="24"/>
          <w:szCs w:val="24"/>
          <w:lang w:val="ro-RO"/>
        </w:rPr>
        <w:t>a râului aferent anului 2010</w:t>
      </w:r>
      <w:r w:rsidR="006245DE">
        <w:rPr>
          <w:rFonts w:ascii="Arial" w:hAnsi="Arial" w:cs="Arial"/>
          <w:sz w:val="24"/>
          <w:szCs w:val="24"/>
          <w:lang w:val="ro-RO"/>
        </w:rPr>
        <w:t>.</w:t>
      </w:r>
    </w:p>
    <w:p w:rsidR="002F7A0C" w:rsidRPr="00A322BD" w:rsidRDefault="002F7A0C">
      <w:pPr>
        <w:spacing w:before="120" w:after="120"/>
        <w:jc w:val="both"/>
        <w:rPr>
          <w:rFonts w:ascii="Arial" w:hAnsi="Arial" w:cs="Arial"/>
          <w:sz w:val="24"/>
          <w:szCs w:val="24"/>
          <w:lang w:val="ro-RO"/>
        </w:rPr>
      </w:pPr>
    </w:p>
    <w:sectPr w:rsidR="002F7A0C" w:rsidRPr="00A3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8C7"/>
    <w:multiLevelType w:val="hybridMultilevel"/>
    <w:tmpl w:val="2B108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A450F"/>
    <w:multiLevelType w:val="hybridMultilevel"/>
    <w:tmpl w:val="35405658"/>
    <w:lvl w:ilvl="0" w:tplc="D832949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E140D32"/>
    <w:multiLevelType w:val="hybridMultilevel"/>
    <w:tmpl w:val="8F229942"/>
    <w:lvl w:ilvl="0" w:tplc="827061C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FF47DCC"/>
    <w:multiLevelType w:val="hybridMultilevel"/>
    <w:tmpl w:val="904C22A0"/>
    <w:lvl w:ilvl="0" w:tplc="69066F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65"/>
    <w:rsid w:val="000017F9"/>
    <w:rsid w:val="00097491"/>
    <w:rsid w:val="000A3348"/>
    <w:rsid w:val="00107398"/>
    <w:rsid w:val="001B36BA"/>
    <w:rsid w:val="001F3CA5"/>
    <w:rsid w:val="00266B44"/>
    <w:rsid w:val="002D066C"/>
    <w:rsid w:val="002F7A0C"/>
    <w:rsid w:val="003E2FFB"/>
    <w:rsid w:val="003E7F1E"/>
    <w:rsid w:val="0040310A"/>
    <w:rsid w:val="0041055B"/>
    <w:rsid w:val="00430248"/>
    <w:rsid w:val="004F6CF3"/>
    <w:rsid w:val="004F7815"/>
    <w:rsid w:val="0051167C"/>
    <w:rsid w:val="0051202D"/>
    <w:rsid w:val="006245DE"/>
    <w:rsid w:val="00716CFE"/>
    <w:rsid w:val="00883CD2"/>
    <w:rsid w:val="0089065D"/>
    <w:rsid w:val="008B6D6E"/>
    <w:rsid w:val="008C2B0B"/>
    <w:rsid w:val="00907F03"/>
    <w:rsid w:val="00984C41"/>
    <w:rsid w:val="00A05E4F"/>
    <w:rsid w:val="00A064B9"/>
    <w:rsid w:val="00A322BD"/>
    <w:rsid w:val="00AA397E"/>
    <w:rsid w:val="00AA7143"/>
    <w:rsid w:val="00B20C71"/>
    <w:rsid w:val="00B41319"/>
    <w:rsid w:val="00B80023"/>
    <w:rsid w:val="00C474F5"/>
    <w:rsid w:val="00CE4465"/>
    <w:rsid w:val="00CF3B4E"/>
    <w:rsid w:val="00D46098"/>
    <w:rsid w:val="00D544B4"/>
    <w:rsid w:val="00D8150D"/>
    <w:rsid w:val="00DB31E1"/>
    <w:rsid w:val="00E01804"/>
    <w:rsid w:val="00E02DA2"/>
    <w:rsid w:val="00E12845"/>
    <w:rsid w:val="00E45209"/>
    <w:rsid w:val="00EA20CC"/>
    <w:rsid w:val="00ED53A7"/>
    <w:rsid w:val="00F353C4"/>
    <w:rsid w:val="00F3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A5"/>
    <w:pPr>
      <w:ind w:left="720"/>
      <w:contextualSpacing/>
    </w:pPr>
  </w:style>
  <w:style w:type="table" w:styleId="TableGrid">
    <w:name w:val="Table Grid"/>
    <w:basedOn w:val="TableNormal"/>
    <w:uiPriority w:val="59"/>
    <w:rsid w:val="008B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71"/>
    <w:rPr>
      <w:rFonts w:ascii="Tahoma" w:hAnsi="Tahoma" w:cs="Tahoma"/>
      <w:sz w:val="16"/>
      <w:szCs w:val="16"/>
    </w:rPr>
  </w:style>
  <w:style w:type="character" w:styleId="PlaceholderText">
    <w:name w:val="Placeholder Text"/>
    <w:basedOn w:val="DefaultParagraphFont"/>
    <w:uiPriority w:val="99"/>
    <w:semiHidden/>
    <w:rsid w:val="00B20C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A5"/>
    <w:pPr>
      <w:ind w:left="720"/>
      <w:contextualSpacing/>
    </w:pPr>
  </w:style>
  <w:style w:type="table" w:styleId="TableGrid">
    <w:name w:val="Table Grid"/>
    <w:basedOn w:val="TableNormal"/>
    <w:uiPriority w:val="59"/>
    <w:rsid w:val="008B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71"/>
    <w:rPr>
      <w:rFonts w:ascii="Tahoma" w:hAnsi="Tahoma" w:cs="Tahoma"/>
      <w:sz w:val="16"/>
      <w:szCs w:val="16"/>
    </w:rPr>
  </w:style>
  <w:style w:type="character" w:styleId="PlaceholderText">
    <w:name w:val="Placeholder Text"/>
    <w:basedOn w:val="DefaultParagraphFont"/>
    <w:uiPriority w:val="99"/>
    <w:semiHidden/>
    <w:rsid w:val="00B2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0-marius-2018\D\D-Date\scoala\Hidrogeologie\coef-epuizar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D-Date\scoala\2018-2019\Hidro-an3\coef-epuiza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ro-RO" sz="1200"/>
              <a:t>Determinarea coeficientului </a:t>
            </a:r>
            <a:r>
              <a:rPr lang="en-US" sz="1200"/>
              <a:t>de epuizare</a:t>
            </a:r>
          </a:p>
        </c:rich>
      </c:tx>
      <c:layout>
        <c:manualLayout>
          <c:xMode val="edge"/>
          <c:yMode val="edge"/>
          <c:x val="0.18979054645196372"/>
          <c:y val="5.5333205300556944E-2"/>
        </c:manualLayout>
      </c:layout>
      <c:overlay val="0"/>
      <c:spPr>
        <a:noFill/>
        <a:ln w="25400">
          <a:noFill/>
        </a:ln>
      </c:spPr>
    </c:title>
    <c:autoTitleDeleted val="0"/>
    <c:plotArea>
      <c:layout>
        <c:manualLayout>
          <c:layoutTarget val="inner"/>
          <c:xMode val="edge"/>
          <c:yMode val="edge"/>
          <c:x val="0.11471490388025821"/>
          <c:y val="0.18507455348569235"/>
          <c:w val="0.77717812300489464"/>
          <c:h val="0.59864582293067015"/>
        </c:manualLayout>
      </c:layout>
      <c:scatterChart>
        <c:scatterStyle val="lineMarker"/>
        <c:varyColors val="0"/>
        <c:ser>
          <c:idx val="0"/>
          <c:order val="0"/>
          <c:tx>
            <c:v>coef de epuizare</c:v>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0"/>
            <c:dispEq val="1"/>
            <c:trendlineLbl>
              <c:layout>
                <c:manualLayout>
                  <c:x val="4.7497576316473953E-3"/>
                  <c:y val="-0.37026740925676971"/>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ro-RO"/>
                </a:p>
              </c:txPr>
            </c:trendlineLbl>
          </c:trendline>
          <c:xVal>
            <c:numRef>
              <c:f>Sheet1!$D$26:$D$28</c:f>
              <c:numCache>
                <c:formatCode>General</c:formatCode>
                <c:ptCount val="3"/>
                <c:pt idx="0">
                  <c:v>390</c:v>
                </c:pt>
                <c:pt idx="1">
                  <c:v>420</c:v>
                </c:pt>
                <c:pt idx="2">
                  <c:v>450</c:v>
                </c:pt>
              </c:numCache>
            </c:numRef>
          </c:xVal>
          <c:yVal>
            <c:numRef>
              <c:f>Sheet1!$F$26:$F$28</c:f>
              <c:numCache>
                <c:formatCode>General</c:formatCode>
                <c:ptCount val="3"/>
                <c:pt idx="0">
                  <c:v>3.4011973816621555</c:v>
                </c:pt>
                <c:pt idx="1">
                  <c:v>3.044522437723423</c:v>
                </c:pt>
                <c:pt idx="2">
                  <c:v>2.7080502011022101</c:v>
                </c:pt>
              </c:numCache>
            </c:numRef>
          </c:yVal>
          <c:smooth val="0"/>
        </c:ser>
        <c:dLbls>
          <c:showLegendKey val="0"/>
          <c:showVal val="0"/>
          <c:showCatName val="0"/>
          <c:showSerName val="0"/>
          <c:showPercent val="0"/>
          <c:showBubbleSize val="0"/>
        </c:dLbls>
        <c:axId val="70782336"/>
        <c:axId val="70782912"/>
      </c:scatterChart>
      <c:valAx>
        <c:axId val="70782336"/>
        <c:scaling>
          <c:orientation val="minMax"/>
        </c:scaling>
        <c:delete val="0"/>
        <c:axPos val="b"/>
        <c:title>
          <c:tx>
            <c:rich>
              <a:bodyPr/>
              <a:lstStyle/>
              <a:p>
                <a:pPr>
                  <a:defRPr/>
                </a:pPr>
                <a:r>
                  <a:rPr lang="en-US"/>
                  <a:t>timp (zile)</a:t>
                </a:r>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o-RO"/>
          </a:p>
        </c:txPr>
        <c:crossAx val="70782912"/>
        <c:crosses val="autoZero"/>
        <c:crossBetween val="midCat"/>
      </c:valAx>
      <c:valAx>
        <c:axId val="70782912"/>
        <c:scaling>
          <c:orientation val="minMax"/>
          <c:min val="2.5"/>
        </c:scaling>
        <c:delete val="0"/>
        <c:axPos val="l"/>
        <c:majorGridlines>
          <c:spPr>
            <a:ln w="3175">
              <a:solidFill>
                <a:srgbClr val="000000"/>
              </a:solidFill>
              <a:prstDash val="solid"/>
            </a:ln>
          </c:spPr>
        </c:majorGridlines>
        <c:title>
          <c:tx>
            <c:rich>
              <a:bodyPr rot="-5400000" vert="horz"/>
              <a:lstStyle/>
              <a:p>
                <a:pPr>
                  <a:defRPr/>
                </a:pPr>
                <a:r>
                  <a:rPr lang="en-US"/>
                  <a:t>ln Q</a:t>
                </a:r>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o-RO"/>
          </a:p>
        </c:txPr>
        <c:crossAx val="70782336"/>
        <c:crosses val="autoZero"/>
        <c:crossBetween val="midCat"/>
      </c:valAx>
      <c:spPr>
        <a:noFill/>
        <a:ln w="12700">
          <a:solidFill>
            <a:srgbClr val="808080"/>
          </a:solidFill>
          <a:prstDash val="solid"/>
        </a:ln>
      </c:spPr>
    </c:plotArea>
    <c:legend>
      <c:legendPos val="b"/>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Separarea curgerii subterane din hidrograful curgerii totale</a:t>
            </a:r>
            <a:endParaRPr lang="en-US"/>
          </a:p>
        </c:rich>
      </c:tx>
      <c:overlay val="1"/>
    </c:title>
    <c:autoTitleDeleted val="0"/>
    <c:plotArea>
      <c:layout>
        <c:manualLayout>
          <c:layoutTarget val="inner"/>
          <c:xMode val="edge"/>
          <c:yMode val="edge"/>
          <c:x val="7.3485600794438929E-2"/>
          <c:y val="0.11885245901639344"/>
          <c:w val="0.86097455368672082"/>
          <c:h val="0.6877921222190323"/>
        </c:manualLayout>
      </c:layout>
      <c:scatterChart>
        <c:scatterStyle val="lineMarker"/>
        <c:varyColors val="0"/>
        <c:ser>
          <c:idx val="0"/>
          <c:order val="0"/>
          <c:tx>
            <c:v>curegre totala</c:v>
          </c:tx>
          <c:spPr>
            <a:ln w="12700">
              <a:solidFill>
                <a:srgbClr val="000080"/>
              </a:solidFill>
              <a:prstDash val="solid"/>
            </a:ln>
          </c:spPr>
          <c:marker>
            <c:symbol val="diamond"/>
            <c:size val="5"/>
            <c:spPr>
              <a:solidFill>
                <a:srgbClr val="000080"/>
              </a:solidFill>
              <a:ln>
                <a:solidFill>
                  <a:srgbClr val="000080"/>
                </a:solidFill>
                <a:prstDash val="solid"/>
              </a:ln>
            </c:spPr>
          </c:marker>
          <c:xVal>
            <c:numRef>
              <c:f>Sheet1!$B$2:$B$18</c:f>
              <c:numCache>
                <c:formatCode>General</c:formatCode>
                <c:ptCount val="17"/>
                <c:pt idx="0">
                  <c:v>15</c:v>
                </c:pt>
                <c:pt idx="1">
                  <c:v>45</c:v>
                </c:pt>
                <c:pt idx="2">
                  <c:v>75</c:v>
                </c:pt>
                <c:pt idx="3">
                  <c:v>105</c:v>
                </c:pt>
                <c:pt idx="4">
                  <c:v>135</c:v>
                </c:pt>
                <c:pt idx="5">
                  <c:v>165</c:v>
                </c:pt>
                <c:pt idx="6">
                  <c:v>195</c:v>
                </c:pt>
                <c:pt idx="7">
                  <c:v>225</c:v>
                </c:pt>
                <c:pt idx="8">
                  <c:v>255</c:v>
                </c:pt>
                <c:pt idx="9">
                  <c:v>285</c:v>
                </c:pt>
                <c:pt idx="10">
                  <c:v>315</c:v>
                </c:pt>
                <c:pt idx="11">
                  <c:v>345</c:v>
                </c:pt>
                <c:pt idx="12">
                  <c:v>375</c:v>
                </c:pt>
                <c:pt idx="13">
                  <c:v>405</c:v>
                </c:pt>
                <c:pt idx="14">
                  <c:v>435</c:v>
                </c:pt>
                <c:pt idx="15">
                  <c:v>465</c:v>
                </c:pt>
                <c:pt idx="16">
                  <c:v>495</c:v>
                </c:pt>
              </c:numCache>
            </c:numRef>
          </c:xVal>
          <c:yVal>
            <c:numRef>
              <c:f>Sheet1!$C$2:$C$18</c:f>
              <c:numCache>
                <c:formatCode>General</c:formatCode>
                <c:ptCount val="17"/>
                <c:pt idx="0">
                  <c:v>35</c:v>
                </c:pt>
                <c:pt idx="1">
                  <c:v>23</c:v>
                </c:pt>
                <c:pt idx="2">
                  <c:v>20</c:v>
                </c:pt>
                <c:pt idx="3">
                  <c:v>33</c:v>
                </c:pt>
                <c:pt idx="4">
                  <c:v>40</c:v>
                </c:pt>
                <c:pt idx="5">
                  <c:v>50</c:v>
                </c:pt>
                <c:pt idx="6">
                  <c:v>59</c:v>
                </c:pt>
                <c:pt idx="7">
                  <c:v>79</c:v>
                </c:pt>
                <c:pt idx="8">
                  <c:v>91</c:v>
                </c:pt>
                <c:pt idx="9">
                  <c:v>102</c:v>
                </c:pt>
                <c:pt idx="10">
                  <c:v>80</c:v>
                </c:pt>
                <c:pt idx="11">
                  <c:v>61</c:v>
                </c:pt>
                <c:pt idx="12">
                  <c:v>30</c:v>
                </c:pt>
                <c:pt idx="13">
                  <c:v>21</c:v>
                </c:pt>
                <c:pt idx="14">
                  <c:v>15</c:v>
                </c:pt>
                <c:pt idx="15">
                  <c:v>31</c:v>
                </c:pt>
                <c:pt idx="16">
                  <c:v>38</c:v>
                </c:pt>
              </c:numCache>
            </c:numRef>
          </c:yVal>
          <c:smooth val="0"/>
        </c:ser>
        <c:dLbls>
          <c:showLegendKey val="0"/>
          <c:showVal val="0"/>
          <c:showCatName val="0"/>
          <c:showSerName val="0"/>
          <c:showPercent val="0"/>
          <c:showBubbleSize val="0"/>
        </c:dLbls>
        <c:axId val="70784640"/>
        <c:axId val="70785216"/>
      </c:scatterChart>
      <c:scatterChart>
        <c:scatterStyle val="smoothMarker"/>
        <c:varyColors val="0"/>
        <c:ser>
          <c:idx val="1"/>
          <c:order val="1"/>
          <c:tx>
            <c:v>curgere subterana</c:v>
          </c:tx>
          <c:spPr>
            <a:ln w="12700">
              <a:solidFill>
                <a:srgbClr val="FF00FF"/>
              </a:solidFill>
              <a:prstDash val="solid"/>
            </a:ln>
          </c:spPr>
          <c:marker>
            <c:symbol val="square"/>
            <c:size val="5"/>
            <c:spPr>
              <a:solidFill>
                <a:srgbClr val="FF00FF"/>
              </a:solidFill>
              <a:ln>
                <a:solidFill>
                  <a:srgbClr val="FF00FF"/>
                </a:solidFill>
                <a:prstDash val="solid"/>
              </a:ln>
            </c:spPr>
          </c:marker>
          <c:xVal>
            <c:numRef>
              <c:f>Sheet1!$F$43:$F$59</c:f>
              <c:numCache>
                <c:formatCode>General</c:formatCode>
                <c:ptCount val="17"/>
                <c:pt idx="0">
                  <c:v>45</c:v>
                </c:pt>
                <c:pt idx="1">
                  <c:v>75</c:v>
                </c:pt>
                <c:pt idx="2">
                  <c:v>105</c:v>
                </c:pt>
                <c:pt idx="3">
                  <c:v>135</c:v>
                </c:pt>
                <c:pt idx="4">
                  <c:v>165</c:v>
                </c:pt>
                <c:pt idx="5">
                  <c:v>195</c:v>
                </c:pt>
                <c:pt idx="6">
                  <c:v>225</c:v>
                </c:pt>
                <c:pt idx="7">
                  <c:v>255</c:v>
                </c:pt>
                <c:pt idx="8">
                  <c:v>285</c:v>
                </c:pt>
                <c:pt idx="9">
                  <c:v>375</c:v>
                </c:pt>
                <c:pt idx="10">
                  <c:v>405</c:v>
                </c:pt>
                <c:pt idx="11">
                  <c:v>435</c:v>
                </c:pt>
                <c:pt idx="12">
                  <c:v>465</c:v>
                </c:pt>
                <c:pt idx="13">
                  <c:v>495</c:v>
                </c:pt>
                <c:pt idx="14">
                  <c:v>435</c:v>
                </c:pt>
                <c:pt idx="15">
                  <c:v>465</c:v>
                </c:pt>
                <c:pt idx="16">
                  <c:v>495</c:v>
                </c:pt>
              </c:numCache>
            </c:numRef>
          </c:xVal>
          <c:yVal>
            <c:numRef>
              <c:f>Sheet1!$G$43:$G$59</c:f>
              <c:numCache>
                <c:formatCode>0.0000</c:formatCode>
                <c:ptCount val="17"/>
                <c:pt idx="0">
                  <c:v>23</c:v>
                </c:pt>
                <c:pt idx="1">
                  <c:v>16.240274152930841</c:v>
                </c:pt>
                <c:pt idx="2">
                  <c:v>11.46723932879798</c:v>
                </c:pt>
                <c:pt idx="3">
                  <c:v>8.0970048033456461</c:v>
                </c:pt>
                <c:pt idx="4">
                  <c:v>5.7172859923448334</c:v>
                </c:pt>
                <c:pt idx="5">
                  <c:v>4.036969214190929</c:v>
                </c:pt>
                <c:pt idx="6">
                  <c:v>2.8504994254522806</c:v>
                </c:pt>
                <c:pt idx="7">
                  <c:v>2.0127344409616037</c:v>
                </c:pt>
                <c:pt idx="8">
                  <c:v>1.421189526880976</c:v>
                </c:pt>
                <c:pt idx="9">
                  <c:v>30</c:v>
                </c:pt>
                <c:pt idx="10">
                  <c:v>21.182966286431533</c:v>
                </c:pt>
                <c:pt idx="11">
                  <c:v>14.957268689736496</c:v>
                </c:pt>
                <c:pt idx="12">
                  <c:v>10.561310613059538</c:v>
                </c:pt>
                <c:pt idx="13">
                  <c:v>7.4573295552323913</c:v>
                </c:pt>
                <c:pt idx="14">
                  <c:v>14.957268689736496</c:v>
                </c:pt>
                <c:pt idx="15">
                  <c:v>10.561310613059538</c:v>
                </c:pt>
                <c:pt idx="16">
                  <c:v>7.4573295552323913</c:v>
                </c:pt>
              </c:numCache>
            </c:numRef>
          </c:yVal>
          <c:smooth val="0"/>
        </c:ser>
        <c:dLbls>
          <c:showLegendKey val="0"/>
          <c:showVal val="0"/>
          <c:showCatName val="0"/>
          <c:showSerName val="0"/>
          <c:showPercent val="0"/>
          <c:showBubbleSize val="0"/>
        </c:dLbls>
        <c:axId val="70784640"/>
        <c:axId val="70785216"/>
      </c:scatterChart>
      <c:valAx>
        <c:axId val="70784640"/>
        <c:scaling>
          <c:orientation val="minMax"/>
        </c:scaling>
        <c:delete val="0"/>
        <c:axPos val="b"/>
        <c:title>
          <c:tx>
            <c:rich>
              <a:bodyPr/>
              <a:lstStyle/>
              <a:p>
                <a:pPr>
                  <a:defRPr/>
                </a:pPr>
                <a:r>
                  <a:rPr lang="en-US"/>
                  <a:t>timp (zile)</a:t>
                </a:r>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ro-RO"/>
          </a:p>
        </c:txPr>
        <c:crossAx val="70785216"/>
        <c:crosses val="autoZero"/>
        <c:crossBetween val="midCat"/>
        <c:majorUnit val="30"/>
      </c:valAx>
      <c:valAx>
        <c:axId val="70785216"/>
        <c:scaling>
          <c:orientation val="minMax"/>
        </c:scaling>
        <c:delete val="0"/>
        <c:axPos val="l"/>
        <c:majorGridlines>
          <c:spPr>
            <a:ln w="3175">
              <a:solidFill>
                <a:srgbClr val="000000"/>
              </a:solidFill>
              <a:prstDash val="solid"/>
            </a:ln>
          </c:spPr>
        </c:majorGridlines>
        <c:title>
          <c:tx>
            <c:rich>
              <a:bodyPr rot="-5400000" vert="horz"/>
              <a:lstStyle/>
              <a:p>
                <a:pPr>
                  <a:defRPr/>
                </a:pPr>
                <a:r>
                  <a:rPr lang="en-US"/>
                  <a:t>debit (mc/s)</a:t>
                </a:r>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ro-RO"/>
          </a:p>
        </c:txPr>
        <c:crossAx val="70784640"/>
        <c:crosses val="autoZero"/>
        <c:crossBetween val="midCat"/>
      </c:valAx>
      <c:spPr>
        <a:noFill/>
        <a:ln w="12700">
          <a:solidFill>
            <a:srgbClr val="808080"/>
          </a:solidFill>
          <a:prstDash val="solid"/>
        </a:ln>
      </c:spPr>
    </c:plotArea>
    <c:legend>
      <c:legendPos val="b"/>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447</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Marius</cp:lastModifiedBy>
  <cp:revision>11</cp:revision>
  <dcterms:created xsi:type="dcterms:W3CDTF">2018-11-06T07:54:00Z</dcterms:created>
  <dcterms:modified xsi:type="dcterms:W3CDTF">2018-11-27T11:29:00Z</dcterms:modified>
</cp:coreProperties>
</file>